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宁波市保安</w:t>
      </w:r>
      <w:r>
        <w:rPr>
          <w:rFonts w:hint="eastAsia" w:ascii="方正小标宋简体" w:hAnsi="方正小标宋简体" w:eastAsia="方正小标宋简体" w:cs="方正小标宋简体"/>
          <w:sz w:val="44"/>
          <w:szCs w:val="44"/>
          <w:lang w:val="en-US" w:eastAsia="zh-CN"/>
        </w:rPr>
        <w:t>协会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会员单位</w:t>
      </w:r>
      <w:r>
        <w:rPr>
          <w:rFonts w:hint="eastAsia" w:ascii="方正小标宋简体" w:hAnsi="方正小标宋简体" w:eastAsia="方正小标宋简体" w:cs="方正小标宋简体"/>
          <w:sz w:val="44"/>
          <w:szCs w:val="44"/>
        </w:rPr>
        <w:t>年度评审实施细则</w:t>
      </w: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一、评审目的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评审的实施旨在全面评估会员单位在规范经营、队伍形象、内控管理、社会效益等方面的表现，根据《社会组织评比达标表彰活动管理办法》和上级主管部门的要求，建立健全的激励机制，促进保安服务业的健康发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二、评审原则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本次评审将遵循公正、客观、透明的原则，确保评审结果真实反映会员单位的实际工作情况和业绩。</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三、评审对象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宁波市保安协会会员单位。</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四、评审组织架构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评审小组将由宁波市保安协会相关人员组成，负责全面实施年度评审工作。</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五、评审小组成员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组长：蔡纪宏</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副组长：王晖</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成员：协会工作人员</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、评审合作机制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1.协会将建立联合评审机制，以确保评审过程的公正性和权威性。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2.评审小组将统一制定评审标准和细则，保证评审内容和标准的一致性。</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3.协会负责收集和整理会员单位提交的材料，并根据评审结果按一定比例组织线下实地抽查。抽查内容为业务运作、内部管理、财务状况、客户反馈等方面。</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、评审实施步骤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1.评审小组将负责线上资料的初步审核工作，确保提交资料的完整性和准确性。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2.初评结束后，提交协会会长办公会议复评，以确保评审的公正和专业性。</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、评审分值</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等级与优秀名额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1.评审总分值为100分，90分以上为优秀等级、90分到80分为良好等级、80分到60分为合格等级、60分以下为不合格等级。</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2、年度优秀保安服务公司会员单位名额为10名。</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3.评审小组将根据各会员单位的线上资料审核和线下抽查结果进行综合打分，最后将各项分值汇总为总分。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、评审结果上报与通报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val="en-US" w:eastAsia="zh-CN"/>
        </w:rPr>
        <w:t>经初评后提交会长办公会议复评</w:t>
      </w:r>
      <w:r>
        <w:rPr>
          <w:rFonts w:hint="eastAsia" w:ascii="仿宋_GB2312" w:hAnsi="仿宋_GB2312" w:eastAsia="仿宋_GB2312" w:cs="仿宋_GB2312"/>
          <w:b w:val="0"/>
          <w:bCs w:val="0"/>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2.复评</w:t>
      </w:r>
      <w:r>
        <w:rPr>
          <w:rFonts w:hint="eastAsia" w:ascii="仿宋_GB2312" w:hAnsi="仿宋_GB2312" w:eastAsia="仿宋_GB2312" w:cs="仿宋_GB2312"/>
          <w:sz w:val="32"/>
          <w:szCs w:val="32"/>
        </w:rPr>
        <w:t>结果将在宁波市保安协会官网上公</w:t>
      </w:r>
      <w:r>
        <w:rPr>
          <w:rFonts w:hint="eastAsia" w:ascii="仿宋_GB2312" w:hAnsi="仿宋_GB2312" w:eastAsia="仿宋_GB2312" w:cs="仿宋_GB2312"/>
          <w:sz w:val="32"/>
          <w:szCs w:val="32"/>
          <w:lang w:val="en-US" w:eastAsia="zh-CN"/>
        </w:rPr>
        <w:t>示，公示无异议后，宁波市保安协会将正式发文确定获奖名单。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3.对荣获“优秀保安服务公司会员单位”称号的会员单位，将颁发牌匾，同时优先向上级主管部门推荐参加各类评选活动。</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本办法自公布之日起实施。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对于评审过程中出现的特殊情况，将由宁波市保安协会协商解决。</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注：1.评审电子材料递交邮箱：</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宁波市保安协会：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"mailto:nbbaxh@163.com"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nbbaxh@163.com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收件人：吴倩倩、钟敏</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电话：87765111、87765666</w:t>
      </w:r>
    </w:p>
    <w:p>
      <w:pPr>
        <w:ind w:firstLine="1285" w:firstLineChars="4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2.评审电子材料清单：</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(1)评审单位基本情况表</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(2)队伍形象</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(3)工资待遇</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(4)客户满意度和员工岗位责任</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(5)会员义务 </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(6)内控管理和企业管理</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(7)保安服务项目创新与实施</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(8)管理流程优化</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(9)数字化和智能化安保管理</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(10)会员单位当年大专及以上毕业生招聘成果</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(11)保安员系统注册率</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(12)技能比武参与与表现</w:t>
      </w:r>
    </w:p>
    <w:p>
      <w:p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(13)社会责任</w:t>
      </w:r>
    </w:p>
    <w:p>
      <w:pPr>
        <w:ind w:firstLine="643" w:firstLineChars="200"/>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宁波市保安协会</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b w:val="0"/>
          <w:bCs w:val="0"/>
          <w:sz w:val="32"/>
          <w:szCs w:val="32"/>
          <w:lang w:val="en-US" w:eastAsia="zh-CN"/>
        </w:rPr>
        <w:t>宁波市保安协会会员单位年度评审标准</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附件2：评审单位基本情况表</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宁波市保安协会</w:t>
      </w:r>
      <w:bookmarkStart w:id="0" w:name="_GoBack"/>
      <w:bookmarkEnd w:id="0"/>
      <w:r>
        <w:rPr>
          <w:rFonts w:hint="eastAsia" w:ascii="方正小标宋简体" w:hAnsi="方正小标宋简体" w:eastAsia="方正小标宋简体" w:cs="方正小标宋简体"/>
          <w:b/>
          <w:bCs/>
          <w:sz w:val="44"/>
          <w:szCs w:val="44"/>
          <w:lang w:val="en-US" w:eastAsia="zh-CN"/>
        </w:rPr>
        <w:t>会员单位年度评审标准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一、队伍形象（10分）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1.队伍规模（2分）：≥1000人（2分），300-999人（1分），&lt;300人（0分）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2.服装、装备标准化（1分）：100%符合标准（1分），&lt;100%符合标准（0分）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3.保安员持证率（5分）：100%（5分），≥95%（4分），&lt;95%（0分）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4.形象宣传（2分）：有定期的形象宣传活动（2分），偶尔宣传（1分），无宣传（0分）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二、工资待遇（8分）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1.薪酬增长机制（4分）：有并执行（4分），有但未完全执行（2分），无机制（0分）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2.足额发放率（4分）：100%足额按时发放（4分），&lt;100%（0分）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三、客户满意度和员工岗位责任（6分）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1.客户满意度（3分）：≥95%满意度（3分），90-94%满意度（2分），&lt;90%满意度（1分），无调查（0分）。</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注：考评小组根据会员单位提供的项目抽签1-2家现场调查。</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2.员工岗位责任清晰度（3分）：全部岗位清晰（3分），大部分岗位清晰（2分），&lt;50%岗位清晰（1分），无岗位描述（0分）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四、会员义务（9分）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1.会费交纳及时性（3分）：无拖欠（3分），拖欠1-3个月（2分），&gt;3个月&lt;6个月（1分），&gt;6个月（0分）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2.活动参与度（3分）：参与所有活动（3分），参与&gt;50%活动（2分），≧50%&lt;30%活动（1分），≤30%（0分）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非会员单位（3分）：已申请入会尚未批准的（3分），未入会的会员单位（0分）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五、内控管理和企业管理（15分）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1.管理体系认证（5分）：质量管理/职业健康/环境管理/信息安全/能源管理（5分），申请中（2分），无认证（0分）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2.规章制度执行（5分）：有记录证明完全执行（5分），部分执行（2分），无记录（0分）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3.员工培训与发展（5分）：参与职业培训学校培训年次数≥2次、人数≥10以上（5分），≤1次、人数≤10以下员工参与（3分），未组织职工参与职业学校培训的（0分）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六、保安服务项目创新与实施（5分）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1.项目创新性（2.5分）：项目具有新颖性和创造性，能够解决当前保安服务中的难题或痛点，实施后能显著提升保安服务质量（2.5分）。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2.项目实施效果（2.5分）：项目实施后，能达到预期目标，有效提升客户满意度和员工工作效率（2.5分）。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七、管理流程优化（5分）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1.流程优化显效（5分）：申报单位有明确的管理流程优化方案，并能提供客观数据证明优化后流程效率提升≥10%的（5分）。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2.流程增效明显（3分）：申报单位有管理流程优化方案，提供客观数据证明流程效率提升在5%-10%之间的（3分）。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3.流程优化有限（1分）：申报单位有管理流程优化方案，但客观数据显示流程效率提升&lt;5%的（1分）。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4.未实施无得分（0分）：未实施管理流程优化的（0分）。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八、数字化和智能化安保管理（10分）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1.数字化管理应用（5分）：全面应用并有效（5分），部分应用（3分），未应用（0分）。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2.智能化安保效果（5分）：全面实施并有效（5分），部分实施（3分），未实施（0分）。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九、会员单位当年大专及以上毕业生招聘成果（10分）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1.招聘数量得分（7分）：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招聘1-2名大专及以上毕业生，得3分；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招聘3-5名，得5分；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招聘6名及以上，得7分。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2.社保缴纳确认得分（3分）：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所有招聘的大专及以上毕业生在会员单位首次缴纳社保，得3分；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若存在未缴纳社保或缴纳不及时的情况，该项不得分。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注：</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衡量时需提供完整的招聘名单及相应的社保缴纳证明。</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若会员单位在招聘过程中存在任何违规行为，将取消其衡量资格。</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十、信用等级分（5分）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A级得5分；B级得4分；C级得3分；D级得2分；E级得1分。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十一、保安员系统注册率（5分）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1.系统注册完整率（2.5分）：100%注册（5分），95-99%注册（3分），&lt;95%注册（0分）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2.上岗证持证率（2.5分）：100%及持证上岗（5分），95-99%持证上岗（3分），&lt;95%及时更新（0分）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十二、技能比武参与与表现（6分）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1.参与人数（3分）：参与人数≥5人（3分），≤4人≥3人（2分），≤2人≥1人（1分），未参与（0分）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2.获奖情况（3分）：团体或个人获得市级以上比武一等奖（3分），二等奖（2分），三等奖（1分），团体四至五名（0.5分）未获奖（0分）</w:t>
      </w:r>
    </w:p>
    <w:p>
      <w:p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十三、社会责任（15分）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1.“警保联动”机制参与度与贡献（10分）：</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深度参与并推动“警保联动”主要项目，取得显著成效，并得到公安机关的书面认可或参与证明，产生广泛的社会影响（10分）；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参与“警保联动”项目，但成效和影响相对有限（5分）；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对“警保联动”机制有所了解，但实质性参与较少或无明显成效（2分）；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未参与或完全不了解“警保联动”机制（0分）。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注：需提供参与“警保联动”机制的具体案例、成效证明等材料作为评分依据。</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2.公益活动参与度（5分）：参与多项公益活动并有记录证明（5分），参与单项公益活动（3分），未参与或无记录（0分）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注：评审的执行应确保公正性和透明性。每项评审指标的评估都应有明确的证据支持，例如：详细记录、证书、奖项、培训记录等。</w:t>
      </w: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jc w:val="righ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宁波市保安协会</w:t>
      </w:r>
    </w:p>
    <w:p>
      <w:pPr>
        <w:jc w:val="righ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年1月2日</w:t>
      </w:r>
    </w:p>
    <w:p>
      <w:pPr>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评审单位</w:t>
      </w:r>
      <w:r>
        <w:rPr>
          <w:rFonts w:hint="eastAsia" w:ascii="方正小标宋简体" w:hAnsi="方正小标宋简体" w:eastAsia="方正小标宋简体" w:cs="方正小标宋简体"/>
          <w:b/>
          <w:bCs/>
          <w:sz w:val="44"/>
          <w:szCs w:val="44"/>
        </w:rPr>
        <w:t>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579"/>
        <w:gridCol w:w="1320"/>
        <w:gridCol w:w="197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07" w:type="dxa"/>
            <w:vAlign w:val="center"/>
          </w:tcPr>
          <w:p>
            <w:pPr>
              <w:keepNext w:val="0"/>
              <w:keepLines w:val="0"/>
              <w:widowControl/>
              <w:suppressLineNumbers w:val="0"/>
              <w:spacing w:line="17" w:lineRule="atLeast"/>
              <w:ind w:left="0" w:leftChars="0" w:firstLine="0" w:firstLineChars="0"/>
              <w:jc w:val="center"/>
              <w:textAlignment w:val="bottom"/>
              <w:rPr>
                <w:rFonts w:hint="eastAsia" w:ascii="方正仿宋_GB2312" w:hAnsi="方正仿宋_GB2312" w:eastAsia="方正仿宋_GB2312" w:cs="方正仿宋_GB2312"/>
                <w:b/>
                <w:bCs/>
                <w:snapToGrid w:val="0"/>
                <w:color w:val="auto"/>
                <w:kern w:val="0"/>
                <w:sz w:val="21"/>
                <w:szCs w:val="21"/>
                <w:lang w:val="en-US" w:eastAsia="en-US" w:bidi="ar-SA"/>
              </w:rPr>
            </w:pPr>
            <w:r>
              <w:rPr>
                <w:rFonts w:hint="eastAsia" w:ascii="方正仿宋_GB2312" w:hAnsi="方正仿宋_GB2312" w:eastAsia="方正仿宋_GB2312" w:cs="方正仿宋_GB2312"/>
                <w:b/>
                <w:bCs/>
                <w:snapToGrid w:val="0"/>
                <w:color w:val="auto"/>
                <w:kern w:val="0"/>
                <w:sz w:val="21"/>
                <w:szCs w:val="21"/>
                <w:lang w:val="en-US" w:eastAsia="zh-CN" w:bidi="ar"/>
              </w:rPr>
              <w:t>项目类别</w:t>
            </w:r>
          </w:p>
        </w:tc>
        <w:tc>
          <w:tcPr>
            <w:tcW w:w="2899" w:type="dxa"/>
            <w:gridSpan w:val="2"/>
            <w:vAlign w:val="center"/>
          </w:tcPr>
          <w:p>
            <w:pPr>
              <w:keepNext w:val="0"/>
              <w:keepLines w:val="0"/>
              <w:widowControl/>
              <w:suppressLineNumbers w:val="0"/>
              <w:spacing w:line="17" w:lineRule="atLeast"/>
              <w:ind w:left="0" w:leftChars="0" w:firstLine="0" w:firstLineChars="0"/>
              <w:jc w:val="center"/>
              <w:textAlignment w:val="bottom"/>
              <w:rPr>
                <w:rFonts w:hint="eastAsia" w:ascii="方正仿宋_GB2312" w:hAnsi="方正仿宋_GB2312" w:eastAsia="方正仿宋_GB2312" w:cs="方正仿宋_GB2312"/>
                <w:b/>
                <w:bCs/>
                <w:snapToGrid w:val="0"/>
                <w:color w:val="auto"/>
                <w:kern w:val="0"/>
                <w:sz w:val="21"/>
                <w:szCs w:val="21"/>
                <w:lang w:val="en-US" w:eastAsia="en-US" w:bidi="ar-SA"/>
              </w:rPr>
            </w:pPr>
            <w:r>
              <w:rPr>
                <w:rFonts w:hint="eastAsia" w:ascii="方正仿宋_GB2312" w:hAnsi="方正仿宋_GB2312" w:eastAsia="方正仿宋_GB2312" w:cs="方正仿宋_GB2312"/>
                <w:b/>
                <w:bCs/>
                <w:snapToGrid w:val="0"/>
                <w:color w:val="auto"/>
                <w:kern w:val="0"/>
                <w:sz w:val="21"/>
                <w:szCs w:val="21"/>
                <w:lang w:val="en-US" w:eastAsia="zh-CN" w:bidi="ar"/>
              </w:rPr>
              <w:t>项目内容</w:t>
            </w:r>
          </w:p>
        </w:tc>
        <w:tc>
          <w:tcPr>
            <w:tcW w:w="3516" w:type="dxa"/>
            <w:gridSpan w:val="2"/>
            <w:vAlign w:val="center"/>
          </w:tcPr>
          <w:p>
            <w:pPr>
              <w:keepNext w:val="0"/>
              <w:keepLines w:val="0"/>
              <w:widowControl/>
              <w:suppressLineNumbers w:val="0"/>
              <w:spacing w:line="17" w:lineRule="atLeast"/>
              <w:ind w:left="0" w:leftChars="0" w:firstLine="0" w:firstLineChars="0"/>
              <w:jc w:val="center"/>
              <w:textAlignment w:val="bottom"/>
              <w:rPr>
                <w:rFonts w:hint="eastAsia" w:ascii="方正仿宋_GB2312" w:hAnsi="方正仿宋_GB2312" w:eastAsia="方正仿宋_GB2312" w:cs="方正仿宋_GB2312"/>
                <w:b/>
                <w:bCs/>
                <w:snapToGrid w:val="0"/>
                <w:color w:val="auto"/>
                <w:kern w:val="0"/>
                <w:sz w:val="21"/>
                <w:szCs w:val="21"/>
                <w:lang w:val="en-US" w:eastAsia="en-US" w:bidi="ar-SA"/>
              </w:rPr>
            </w:pPr>
            <w:r>
              <w:rPr>
                <w:rFonts w:hint="eastAsia" w:ascii="方正仿宋_GB2312" w:hAnsi="方正仿宋_GB2312" w:eastAsia="方正仿宋_GB2312" w:cs="方正仿宋_GB2312"/>
                <w:b/>
                <w:bCs/>
                <w:snapToGrid w:val="0"/>
                <w:color w:val="auto"/>
                <w:kern w:val="0"/>
                <w:sz w:val="21"/>
                <w:szCs w:val="21"/>
                <w:lang w:val="en-US" w:eastAsia="zh-CN" w:bidi="ar"/>
              </w:rPr>
              <w:t>详细信息 /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restart"/>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单位信息</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单位名称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注册地址</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办公地址</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邮政编码</w:t>
            </w:r>
          </w:p>
        </w:tc>
        <w:tc>
          <w:tcPr>
            <w:tcW w:w="3516" w:type="dxa"/>
            <w:gridSpan w:val="2"/>
            <w:vAlign w:val="top"/>
          </w:tcPr>
          <w:p>
            <w:pPr>
              <w:keepNext w:val="0"/>
              <w:keepLines w:val="0"/>
              <w:widowControl/>
              <w:suppressLineNumbers w:val="0"/>
              <w:tabs>
                <w:tab w:val="center" w:pos="1878"/>
              </w:tabs>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联系方式</w:t>
            </w:r>
          </w:p>
        </w:tc>
        <w:tc>
          <w:tcPr>
            <w:tcW w:w="3516" w:type="dxa"/>
            <w:gridSpan w:val="2"/>
            <w:vAlign w:val="top"/>
          </w:tcPr>
          <w:p>
            <w:pPr>
              <w:widowControl w:val="0"/>
              <w:jc w:val="left"/>
              <w:rPr>
                <w:rFonts w:hint="eastAsia" w:ascii="方正仿宋_GB2312" w:hAnsi="方正仿宋_GB2312" w:eastAsia="方正仿宋_GB2312" w:cs="方正仿宋_GB2312"/>
                <w:snapToGrid w:val="0"/>
                <w:color w:val="auto"/>
                <w:kern w:val="0"/>
                <w:sz w:val="21"/>
                <w:szCs w:val="21"/>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联系人</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电话</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传真</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网址</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restart"/>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管理层信息</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法定代表人姓名</w:t>
            </w:r>
          </w:p>
        </w:tc>
        <w:tc>
          <w:tcPr>
            <w:tcW w:w="3516" w:type="dxa"/>
            <w:gridSpan w:val="2"/>
            <w:vAlign w:val="top"/>
          </w:tcPr>
          <w:p>
            <w:pPr>
              <w:widowControl w:val="0"/>
              <w:jc w:val="left"/>
              <w:rPr>
                <w:rFonts w:hint="eastAsia" w:ascii="方正仿宋_GB2312" w:hAnsi="方正仿宋_GB2312" w:eastAsia="方正仿宋_GB2312" w:cs="方正仿宋_GB2312"/>
                <w:snapToGrid w:val="0"/>
                <w:color w:val="auto"/>
                <w:kern w:val="0"/>
                <w:sz w:val="21"/>
                <w:szCs w:val="21"/>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技术职称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电话</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办公室负责人姓名</w:t>
            </w:r>
          </w:p>
        </w:tc>
        <w:tc>
          <w:tcPr>
            <w:tcW w:w="3516" w:type="dxa"/>
            <w:gridSpan w:val="2"/>
            <w:vAlign w:val="top"/>
          </w:tcPr>
          <w:p>
            <w:pPr>
              <w:widowControl w:val="0"/>
              <w:jc w:val="left"/>
              <w:rPr>
                <w:rFonts w:hint="eastAsia" w:ascii="方正仿宋_GB2312" w:hAnsi="方正仿宋_GB2312" w:eastAsia="方正仿宋_GB2312" w:cs="方正仿宋_GB2312"/>
                <w:snapToGrid w:val="0"/>
                <w:color w:val="auto"/>
                <w:kern w:val="0"/>
                <w:sz w:val="21"/>
                <w:szCs w:val="21"/>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技术职称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电话</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restart"/>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公司基本情况</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成立时间</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员工总人数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信用等级</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认证证书</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restart"/>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注册与财务信息</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营业执照号</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注册资金</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1579" w:type="dxa"/>
            <w:vMerge w:val="restart"/>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年营业总收入</w:t>
            </w:r>
          </w:p>
        </w:tc>
        <w:tc>
          <w:tcPr>
            <w:tcW w:w="1320" w:type="dxa"/>
            <w:vMerge w:val="restart"/>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vertAlign w:val="baseline"/>
                <w:lang w:val="en-US" w:eastAsia="zh-CN" w:bidi="ar"/>
              </w:rPr>
            </w:pPr>
            <w:r>
              <w:rPr>
                <w:rFonts w:hint="eastAsia" w:ascii="方正仿宋_GB2312" w:hAnsi="方正仿宋_GB2312" w:eastAsia="方正仿宋_GB2312" w:cs="方正仿宋_GB2312"/>
                <w:snapToGrid w:val="0"/>
                <w:color w:val="auto"/>
                <w:kern w:val="0"/>
                <w:sz w:val="21"/>
                <w:szCs w:val="21"/>
                <w:vertAlign w:val="baseline"/>
                <w:lang w:val="en-US" w:eastAsia="zh-CN" w:bidi="ar"/>
              </w:rPr>
              <w:t xml:space="preserve">        元</w:t>
            </w:r>
          </w:p>
        </w:tc>
        <w:tc>
          <w:tcPr>
            <w:tcW w:w="1970"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人力防范营业收入</w:t>
            </w:r>
          </w:p>
        </w:tc>
        <w:tc>
          <w:tcPr>
            <w:tcW w:w="1546"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1579" w:type="dxa"/>
            <w:vMerge w:val="continue"/>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tc>
        <w:tc>
          <w:tcPr>
            <w:tcW w:w="1320" w:type="dxa"/>
            <w:vMerge w:val="continue"/>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tc>
        <w:tc>
          <w:tcPr>
            <w:tcW w:w="1970"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技术防范营业收入</w:t>
            </w:r>
          </w:p>
        </w:tc>
        <w:tc>
          <w:tcPr>
            <w:tcW w:w="1546"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07" w:type="dxa"/>
            <w:vMerge w:val="continue"/>
            <w:vAlign w:val="center"/>
          </w:tcPr>
          <w:p>
            <w:pPr>
              <w:widowControl w:val="0"/>
              <w:jc w:val="center"/>
              <w:rPr>
                <w:rFonts w:hint="eastAsia" w:ascii="方正仿宋_GB2312" w:hAnsi="方正仿宋_GB2312" w:eastAsia="方正仿宋_GB2312" w:cs="方正仿宋_GB2312"/>
                <w:b/>
                <w:bCs/>
                <w:sz w:val="21"/>
                <w:szCs w:val="21"/>
                <w:vertAlign w:val="baseline"/>
              </w:rPr>
            </w:pPr>
          </w:p>
        </w:tc>
        <w:tc>
          <w:tcPr>
            <w:tcW w:w="1579" w:type="dxa"/>
            <w:vMerge w:val="continue"/>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tc>
        <w:tc>
          <w:tcPr>
            <w:tcW w:w="1320" w:type="dxa"/>
            <w:vMerge w:val="continue"/>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vertAlign w:val="baseline"/>
                <w:lang w:val="en-US" w:eastAsia="zh-CN" w:bidi="ar"/>
              </w:rPr>
            </w:pPr>
          </w:p>
        </w:tc>
        <w:tc>
          <w:tcPr>
            <w:tcW w:w="1970"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其他收入</w:t>
            </w:r>
          </w:p>
        </w:tc>
        <w:tc>
          <w:tcPr>
            <w:tcW w:w="1546" w:type="dxa"/>
            <w:vAlign w:val="top"/>
          </w:tcPr>
          <w:p>
            <w:pPr>
              <w:keepNext w:val="0"/>
              <w:keepLines w:val="0"/>
              <w:widowControl/>
              <w:suppressLineNumbers w:val="0"/>
              <w:spacing w:line="17" w:lineRule="atLeast"/>
              <w:ind w:left="0" w:leftChars="0" w:firstLine="0" w:firstLineChars="0"/>
              <w:jc w:val="left"/>
              <w:textAlignment w:val="baseline"/>
              <w:rPr>
                <w:rFonts w:hint="default"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restart"/>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员工级别统计</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高级职称人员数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中级职称人员数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r>
              <w:rPr>
                <w:rFonts w:hint="eastAsia" w:ascii="方正仿宋_GB2312" w:hAnsi="方正仿宋_GB2312" w:eastAsia="方正仿宋_GB2312" w:cs="方正仿宋_GB2312"/>
                <w:snapToGrid w:val="0"/>
                <w:color w:val="auto"/>
                <w:kern w:val="0"/>
                <w:sz w:val="21"/>
                <w:szCs w:val="21"/>
                <w:lang w:val="en-US" w:eastAsia="zh-CN" w:bidi="ar-SA"/>
              </w:rPr>
              <w:t>初级职称人员数</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lang w:val="en-US" w:eastAsia="zh-CN" w:bidi="ar-SA"/>
              </w:rPr>
            </w:pPr>
            <w:r>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t>初级保安员 (职业五级)</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lang w:val="en-US" w:eastAsia="zh-CN" w:bidi="ar-SA"/>
              </w:rPr>
            </w:pPr>
            <w:r>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t>中级保安员 (职业四级)</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lang w:val="en-US" w:eastAsia="zh-CN" w:bidi="ar-SA"/>
              </w:rPr>
            </w:pPr>
            <w:r>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t>高级保安员 (职业三级)</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lang w:val="en-US" w:eastAsia="zh-CN" w:bidi="ar-SA"/>
              </w:rPr>
            </w:pPr>
            <w:r>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t>保安经理 (职业二级)</w:t>
            </w:r>
          </w:p>
        </w:tc>
        <w:tc>
          <w:tcPr>
            <w:tcW w:w="3516"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Merge w:val="continue"/>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lang w:val="en-US" w:eastAsia="zh-CN" w:bidi="ar-SA"/>
              </w:rPr>
            </w:pPr>
            <w:r>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t>高级保安经理 (职业一级)</w:t>
            </w:r>
          </w:p>
        </w:tc>
        <w:tc>
          <w:tcPr>
            <w:tcW w:w="3516" w:type="dxa"/>
            <w:gridSpan w:val="2"/>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07" w:type="dxa"/>
            <w:vAlign w:val="center"/>
          </w:tcPr>
          <w:p>
            <w:pPr>
              <w:keepNext w:val="0"/>
              <w:keepLines w:val="0"/>
              <w:widowControl/>
              <w:suppressLineNumbers w:val="0"/>
              <w:spacing w:line="17" w:lineRule="atLeast"/>
              <w:ind w:left="0" w:leftChars="0" w:firstLine="0" w:firstLineChars="0"/>
              <w:jc w:val="center"/>
              <w:textAlignment w:val="baseline"/>
              <w:rPr>
                <w:rFonts w:hint="eastAsia" w:ascii="方正仿宋_GB2312" w:hAnsi="方正仿宋_GB2312" w:eastAsia="方正仿宋_GB2312" w:cs="方正仿宋_GB2312"/>
                <w:snapToGrid w:val="0"/>
                <w:color w:val="auto"/>
                <w:kern w:val="0"/>
                <w:sz w:val="21"/>
                <w:szCs w:val="21"/>
                <w:lang w:val="en-US" w:eastAsia="zh-CN" w:bidi="ar-SA"/>
              </w:rPr>
            </w:pPr>
            <w:r>
              <w:rPr>
                <w:rFonts w:hint="eastAsia" w:ascii="方正仿宋_GB2312" w:hAnsi="方正仿宋_GB2312" w:eastAsia="方正仿宋_GB2312" w:cs="方正仿宋_GB2312"/>
                <w:snapToGrid w:val="0"/>
                <w:color w:val="auto"/>
                <w:kern w:val="0"/>
                <w:sz w:val="21"/>
                <w:szCs w:val="21"/>
                <w:lang w:val="en-US" w:eastAsia="zh-CN" w:bidi="ar-SA"/>
              </w:rPr>
              <w:t>经营范围</w:t>
            </w:r>
          </w:p>
        </w:tc>
        <w:tc>
          <w:tcPr>
            <w:tcW w:w="2899" w:type="dxa"/>
            <w:gridSpan w:val="2"/>
            <w:vAlign w:val="top"/>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i w:val="0"/>
                <w:iCs w:val="0"/>
                <w:caps w:val="0"/>
                <w:snapToGrid w:val="0"/>
                <w:color w:val="auto"/>
                <w:spacing w:val="0"/>
                <w:kern w:val="0"/>
                <w:sz w:val="21"/>
                <w:szCs w:val="21"/>
                <w:vertAlign w:val="baseline"/>
                <w:lang w:val="en-US" w:eastAsia="zh-CN" w:bidi="ar"/>
              </w:rPr>
            </w:pPr>
          </w:p>
        </w:tc>
        <w:tc>
          <w:tcPr>
            <w:tcW w:w="3516" w:type="dxa"/>
            <w:gridSpan w:val="2"/>
          </w:tcPr>
          <w:p>
            <w:pPr>
              <w:keepNext w:val="0"/>
              <w:keepLines w:val="0"/>
              <w:widowControl/>
              <w:suppressLineNumbers w:val="0"/>
              <w:spacing w:line="17" w:lineRule="atLeast"/>
              <w:ind w:left="0" w:leftChars="0" w:firstLine="0" w:firstLineChars="0"/>
              <w:jc w:val="left"/>
              <w:textAlignment w:val="baseline"/>
              <w:rPr>
                <w:rFonts w:hint="eastAsia" w:ascii="方正仿宋_GB2312" w:hAnsi="方正仿宋_GB2312" w:eastAsia="方正仿宋_GB2312" w:cs="方正仿宋_GB2312"/>
                <w:snapToGrid w:val="0"/>
                <w:color w:val="auto"/>
                <w:kern w:val="0"/>
                <w:sz w:val="21"/>
                <w:szCs w:val="21"/>
                <w:lang w:val="en-US" w:eastAsia="en-US" w:bidi="ar-SA"/>
              </w:rPr>
            </w:pPr>
          </w:p>
        </w:tc>
      </w:tr>
    </w:tbl>
    <w:p>
      <w:pPr>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F767C02-22C5-4C05-ACE7-83D0F9DC4E72}"/>
  </w:font>
  <w:font w:name="方正小标宋简体">
    <w:panose1 w:val="03000509000000000000"/>
    <w:charset w:val="86"/>
    <w:family w:val="auto"/>
    <w:pitch w:val="default"/>
    <w:sig w:usb0="00000001" w:usb1="080E0000" w:usb2="00000000" w:usb3="00000000" w:csb0="00040000" w:csb1="00000000"/>
    <w:embedRegular r:id="rId2" w:fontKey="{A0B82396-C8E6-42D9-A83C-73F6CC2B5311}"/>
  </w:font>
  <w:font w:name="仿宋">
    <w:panose1 w:val="02010609060101010101"/>
    <w:charset w:val="86"/>
    <w:family w:val="auto"/>
    <w:pitch w:val="default"/>
    <w:sig w:usb0="800002BF" w:usb1="38CF7CFA" w:usb2="00000016" w:usb3="00000000" w:csb0="00040001" w:csb1="00000000"/>
    <w:embedRegular r:id="rId3" w:fontKey="{4A7FEF8B-440A-43F1-8CB8-21547618A831}"/>
  </w:font>
  <w:font w:name="方正仿宋_GB2312">
    <w:panose1 w:val="02000000000000000000"/>
    <w:charset w:val="86"/>
    <w:family w:val="auto"/>
    <w:pitch w:val="default"/>
    <w:sig w:usb0="A00002BF" w:usb1="184F6CFA" w:usb2="00000012" w:usb3="00000000" w:csb0="00040001" w:csb1="00000000"/>
    <w:embedRegular r:id="rId4" w:fontKey="{4EB28729-2F73-490B-A748-0EBE41352518}"/>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5" w:fontKey="{939C4FD3-49BC-4ADA-A5F9-5C79BE31819B}"/>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ZWRmOGI5NTE3ZTFiNzE0ZjdhMDk2ZDI2Mjc2MDkifQ=="/>
  </w:docVars>
  <w:rsids>
    <w:rsidRoot w:val="0CC10103"/>
    <w:rsid w:val="01210116"/>
    <w:rsid w:val="02875833"/>
    <w:rsid w:val="09EE1877"/>
    <w:rsid w:val="0C862581"/>
    <w:rsid w:val="0CC10103"/>
    <w:rsid w:val="0D650C0A"/>
    <w:rsid w:val="11142614"/>
    <w:rsid w:val="1A4E6234"/>
    <w:rsid w:val="1B246A8A"/>
    <w:rsid w:val="1F041021"/>
    <w:rsid w:val="21983091"/>
    <w:rsid w:val="25074C4E"/>
    <w:rsid w:val="2CFA59CC"/>
    <w:rsid w:val="33DF2DA8"/>
    <w:rsid w:val="3C6E7BB4"/>
    <w:rsid w:val="40DC06F8"/>
    <w:rsid w:val="4620531D"/>
    <w:rsid w:val="491856F9"/>
    <w:rsid w:val="53D43574"/>
    <w:rsid w:val="5DCC2370"/>
    <w:rsid w:val="60BC4C41"/>
    <w:rsid w:val="678A042E"/>
    <w:rsid w:val="73D24415"/>
    <w:rsid w:val="74DB6E46"/>
    <w:rsid w:val="77CB7519"/>
    <w:rsid w:val="78A91105"/>
    <w:rsid w:val="7ABB3FE8"/>
    <w:rsid w:val="7B872F5D"/>
    <w:rsid w:val="7D850CE6"/>
    <w:rsid w:val="7E5C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2023-11-13T06:56:00Z</dcterms:created>
  <dc:creator>王晖</dc:creator>
  <cp:lastModifiedBy>简单办公丶皎舟</cp:lastModifiedBy>
  <cp:lastPrinted>2023-12-25T01:41:00Z</cp:lastPrinted>
  <dcterms:modified xsi:type="dcterms:W3CDTF">2024-01-04T03:33:13Z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152EBD9F1CD646AABCC22CF619CDF219_13</vt:lpwstr>
  </property>
</Properties>
</file>